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8C30F">
      <w:pPr>
        <w:spacing w:line="480" w:lineRule="auto"/>
        <w:ind w:left="2393" w:hanging="2393" w:hangingChars="745"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附件一：</w:t>
      </w:r>
    </w:p>
    <w:p w14:paraId="3C8FE02E">
      <w:pPr>
        <w:spacing w:line="480" w:lineRule="auto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bookmarkStart w:id="0" w:name="OLE_LINK2"/>
      <w:r>
        <w:rPr>
          <w:rFonts w:hint="eastAsia" w:ascii="方正小标宋简体" w:hAnsi="华文中宋" w:eastAsia="方正小标宋简体"/>
          <w:b/>
          <w:sz w:val="36"/>
          <w:szCs w:val="36"/>
        </w:rPr>
        <w:t>《北京市预拌混凝土生产及设备情况统计报表》</w:t>
      </w:r>
    </w:p>
    <w:p w14:paraId="7698145B">
      <w:pPr>
        <w:spacing w:line="480" w:lineRule="auto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填报说明</w:t>
      </w:r>
    </w:p>
    <w:p w14:paraId="4351EA7C">
      <w:pPr>
        <w:pStyle w:val="2"/>
        <w:spacing w:line="500" w:lineRule="exact"/>
        <w:ind w:firstLine="643" w:firstLineChars="200"/>
        <w:rPr>
          <w:rFonts w:hint="eastAsia" w:ascii="仿宋_GB2312" w:hAnsi="华文仿宋" w:eastAsia="仿宋_GB2312" w:cstheme="minorBidi"/>
          <w:b/>
          <w:bCs/>
          <w:kern w:val="2"/>
          <w:sz w:val="32"/>
          <w:szCs w:val="32"/>
        </w:rPr>
      </w:pPr>
      <w:r>
        <w:rPr>
          <w:rFonts w:hint="eastAsia" w:ascii="仿宋_GB2312" w:hAnsi="华文仿宋" w:eastAsia="仿宋_GB2312" w:cstheme="minorBidi"/>
          <w:b/>
          <w:bCs/>
          <w:kern w:val="2"/>
          <w:sz w:val="32"/>
          <w:szCs w:val="32"/>
        </w:rPr>
        <w:t>一、具体要求</w:t>
      </w:r>
    </w:p>
    <w:p w14:paraId="389D61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640" w:firstLineChars="200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 本表是根据</w:t>
      </w:r>
      <w:r>
        <w:rPr>
          <w:rFonts w:hint="eastAsia" w:ascii="仿宋_GB2312" w:hAnsi="仿宋" w:eastAsia="仿宋_GB2312"/>
          <w:sz w:val="32"/>
          <w:szCs w:val="32"/>
        </w:rPr>
        <w:t>北京市建筑节能与建筑材料管理事务中心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信息采集</w:t>
      </w:r>
      <w:r>
        <w:rPr>
          <w:rFonts w:hint="eastAsia" w:ascii="仿宋_GB2312" w:hAnsi="华文仿宋" w:eastAsia="仿宋_GB2312"/>
          <w:sz w:val="32"/>
          <w:szCs w:val="32"/>
        </w:rPr>
        <w:t>要求及结合行业实际情况综合制订。</w:t>
      </w:r>
    </w:p>
    <w:p w14:paraId="08B62086">
      <w:pPr>
        <w:pStyle w:val="2"/>
        <w:spacing w:line="500" w:lineRule="exact"/>
        <w:ind w:firstLine="640" w:firstLineChars="200"/>
        <w:rPr>
          <w:rFonts w:hint="eastAsia" w:ascii="仿宋_GB2312" w:hAnsi="华文仿宋" w:eastAsia="仿宋_GB2312" w:cstheme="minorBidi"/>
          <w:kern w:val="2"/>
          <w:sz w:val="32"/>
          <w:szCs w:val="32"/>
        </w:rPr>
      </w:pPr>
      <w:r>
        <w:rPr>
          <w:rFonts w:hint="eastAsia" w:ascii="仿宋_GB2312" w:hAnsi="华文仿宋" w:eastAsia="仿宋_GB2312" w:cstheme="minorBidi"/>
          <w:kern w:val="2"/>
          <w:sz w:val="32"/>
          <w:szCs w:val="32"/>
        </w:rPr>
        <w:t xml:space="preserve">2. </w:t>
      </w:r>
      <w:r>
        <w:rPr>
          <w:rFonts w:hint="eastAsia" w:ascii="仿宋_GB2312" w:hAnsi="华文仿宋" w:eastAsia="仿宋_GB2312" w:cstheme="minorBidi"/>
          <w:kern w:val="2"/>
          <w:sz w:val="32"/>
          <w:szCs w:val="32"/>
          <w:lang w:val="en-US" w:eastAsia="zh-CN"/>
        </w:rPr>
        <w:t>行业信息采集</w:t>
      </w:r>
      <w:r>
        <w:rPr>
          <w:rFonts w:hint="eastAsia" w:ascii="仿宋_GB2312" w:hAnsi="华文仿宋" w:eastAsia="仿宋_GB2312" w:cstheme="minorBidi"/>
          <w:kern w:val="2"/>
          <w:sz w:val="32"/>
          <w:szCs w:val="32"/>
        </w:rPr>
        <w:t>范围为北京市所辖区域内所有预拌混凝土生产企业（站点）的相关数据信息。</w:t>
      </w:r>
    </w:p>
    <w:p w14:paraId="4E0A6469">
      <w:pPr>
        <w:pStyle w:val="2"/>
        <w:spacing w:line="500" w:lineRule="exact"/>
        <w:ind w:firstLine="640" w:firstLineChars="200"/>
        <w:rPr>
          <w:rFonts w:hint="eastAsia" w:ascii="仿宋_GB2312" w:hAnsi="华文仿宋" w:eastAsia="仿宋_GB2312" w:cstheme="minorBidi"/>
          <w:kern w:val="2"/>
          <w:sz w:val="32"/>
          <w:szCs w:val="32"/>
        </w:rPr>
      </w:pPr>
      <w:r>
        <w:rPr>
          <w:rFonts w:hint="eastAsia" w:ascii="仿宋_GB2312" w:hAnsi="华文仿宋" w:eastAsia="仿宋_GB2312" w:cstheme="minorBidi"/>
          <w:kern w:val="2"/>
          <w:sz w:val="32"/>
          <w:szCs w:val="32"/>
        </w:rPr>
        <w:t>3. 本表每季度报出一次，报出日期为本季度的次月10日前，逢节假日顺延。</w:t>
      </w:r>
      <w:r>
        <w:rPr>
          <w:rFonts w:hint="eastAsia" w:ascii="仿宋_GB2312" w:hAnsi="华文仿宋" w:eastAsia="仿宋_GB2312" w:cstheme="minorBidi"/>
          <w:kern w:val="2"/>
          <w:sz w:val="32"/>
          <w:szCs w:val="32"/>
        </w:rPr>
        <w:br w:type="textWrapping"/>
      </w:r>
      <w:r>
        <w:rPr>
          <w:rFonts w:hint="eastAsia" w:ascii="仿宋_GB2312" w:hAnsi="华文仿宋" w:eastAsia="仿宋_GB2312" w:cstheme="minorBidi"/>
          <w:kern w:val="2"/>
          <w:sz w:val="32"/>
          <w:szCs w:val="32"/>
        </w:rPr>
        <w:t xml:space="preserve">    4. 本表指标数据均为期末数量，即：4月10日前填报1-3月数据、7月10日前填报1-6月数据、10月10日前填报1-9 月数据、次年1月10日前填报1-12月数据。</w:t>
      </w:r>
    </w:p>
    <w:p w14:paraId="6F6B24C8">
      <w:pPr>
        <w:spacing w:line="500" w:lineRule="exact"/>
        <w:ind w:firstLine="643" w:firstLineChars="200"/>
        <w:rPr>
          <w:rFonts w:hint="eastAsia" w:ascii="仿宋_GB2312" w:hAnsi="华文仿宋" w:eastAsia="仿宋_GB2312"/>
          <w:b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二、统计表中的计算关系及填报内容说明</w:t>
      </w:r>
    </w:p>
    <w:p w14:paraId="7C6F073C">
      <w:pPr>
        <w:spacing w:line="500" w:lineRule="exac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1. 混凝土年生产能力（万m</w:t>
      </w:r>
      <w:r>
        <w:rPr>
          <w:rFonts w:ascii="Calibri" w:hAnsi="Calibri" w:eastAsia="仿宋_GB2312" w:cs="Calibri"/>
          <w:sz w:val="32"/>
          <w:szCs w:val="32"/>
        </w:rPr>
        <w:t>³</w:t>
      </w:r>
      <w:r>
        <w:rPr>
          <w:rFonts w:hint="eastAsia" w:ascii="仿宋_GB2312" w:hAnsi="华文仿宋" w:eastAsia="仿宋_GB2312"/>
          <w:sz w:val="32"/>
          <w:szCs w:val="32"/>
        </w:rPr>
        <w:t>）=每台机组年产能之和。(自动生成)</w:t>
      </w:r>
    </w:p>
    <w:p w14:paraId="4A758F4B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2. 年产能:混凝土搅拌机1</w:t>
      </w:r>
      <w:bookmarkStart w:id="1" w:name="OLE_LINK6"/>
      <w:r>
        <w:rPr>
          <w:rFonts w:hint="eastAsia" w:ascii="仿宋_GB2312" w:hAnsi="华文仿宋" w:eastAsia="仿宋_GB2312"/>
          <w:sz w:val="32"/>
          <w:szCs w:val="32"/>
        </w:rPr>
        <w:t>m</w:t>
      </w:r>
      <w:r>
        <w:rPr>
          <w:rFonts w:ascii="Calibri" w:hAnsi="Calibri" w:eastAsia="仿宋_GB2312" w:cs="Calibri"/>
          <w:sz w:val="32"/>
          <w:szCs w:val="32"/>
        </w:rPr>
        <w:t>³</w:t>
      </w:r>
      <w:bookmarkEnd w:id="1"/>
      <w:r>
        <w:rPr>
          <w:rFonts w:hint="eastAsia" w:ascii="仿宋_GB2312" w:hAnsi="华文仿宋" w:eastAsia="仿宋_GB2312"/>
          <w:sz w:val="32"/>
          <w:szCs w:val="32"/>
        </w:rPr>
        <w:t>公称容量年产能按15万m</w:t>
      </w:r>
      <w:r>
        <w:rPr>
          <w:rFonts w:ascii="Calibri" w:hAnsi="Calibri" w:eastAsia="仿宋_GB2312" w:cs="Calibri"/>
          <w:sz w:val="32"/>
          <w:szCs w:val="32"/>
        </w:rPr>
        <w:t>³</w:t>
      </w:r>
      <w:r>
        <w:rPr>
          <w:rFonts w:hint="eastAsia" w:ascii="仿宋_GB2312" w:hAnsi="华文仿宋" w:eastAsia="仿宋_GB2312"/>
          <w:sz w:val="32"/>
          <w:szCs w:val="32"/>
        </w:rPr>
        <w:t>计算</w:t>
      </w:r>
      <w:bookmarkStart w:id="2" w:name="OLE_LINK3"/>
      <w:r>
        <w:rPr>
          <w:rFonts w:hint="eastAsia" w:ascii="仿宋_GB2312" w:hAnsi="华文仿宋" w:eastAsia="仿宋_GB2312"/>
          <w:sz w:val="32"/>
          <w:szCs w:val="32"/>
        </w:rPr>
        <w:t>（执行标准T/CBMF126/T/CCPA21-2021表A.1）</w:t>
      </w:r>
      <w:bookmarkEnd w:id="2"/>
      <w:r>
        <w:rPr>
          <w:rFonts w:hint="eastAsia" w:ascii="仿宋_GB2312" w:hAnsi="华文仿宋" w:eastAsia="仿宋_GB2312"/>
          <w:sz w:val="32"/>
          <w:szCs w:val="32"/>
        </w:rPr>
        <w:t xml:space="preserve">。  </w:t>
      </w:r>
    </w:p>
    <w:p w14:paraId="7DD29AA4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 额定量：混凝土搅拌车的额定容量；混凝土泵车的额定输送能力（指小时泵送量）。</w:t>
      </w:r>
    </w:p>
    <w:p w14:paraId="1B070B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firstLine="640" w:firstLineChars="200"/>
        <w:jc w:val="left"/>
        <w:rPr>
          <w:rFonts w:hint="eastAsia" w:ascii="仿宋_GB2312" w:hAnsi="华文仿宋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Times New Roman"/>
          <w:sz w:val="32"/>
          <w:szCs w:val="32"/>
        </w:rPr>
        <w:t>4. 湿拌砂浆产量（万吨）=砂浆方量（万m</w:t>
      </w:r>
      <w:r>
        <w:rPr>
          <w:rFonts w:ascii="Calibri" w:hAnsi="Calibri" w:eastAsia="仿宋_GB2312" w:cs="Calibri"/>
          <w:sz w:val="32"/>
          <w:szCs w:val="32"/>
        </w:rPr>
        <w:t>³</w:t>
      </w:r>
      <w:r>
        <w:rPr>
          <w:rFonts w:hint="eastAsia" w:ascii="仿宋_GB2312" w:hAnsi="仿宋_GB2312" w:eastAsia="仿宋_GB2312" w:cs="仿宋_GB2312"/>
          <w:sz w:val="32"/>
          <w:szCs w:val="32"/>
        </w:rPr>
        <w:t>）×容重（</w:t>
      </w:r>
      <w:r>
        <w:rPr>
          <w:rFonts w:hint="eastAsia" w:ascii="仿宋_GB2312" w:hAnsi="华文仿宋" w:eastAsia="仿宋_GB2312" w:cs="Times New Roman"/>
          <w:sz w:val="32"/>
          <w:szCs w:val="32"/>
        </w:rPr>
        <w:t>t/</w:t>
      </w:r>
      <w:bookmarkStart w:id="3" w:name="OLE_LINK1"/>
      <w:bookmarkStart w:id="4" w:name="OLE_LINK4"/>
      <w:r>
        <w:rPr>
          <w:rFonts w:hint="eastAsia" w:ascii="仿宋_GB2312" w:hAnsi="华文仿宋" w:eastAsia="仿宋_GB2312" w:cs="Times New Roman"/>
          <w:sz w:val="32"/>
          <w:szCs w:val="32"/>
        </w:rPr>
        <w:t>m</w:t>
      </w:r>
      <w:r>
        <w:rPr>
          <w:rFonts w:ascii="Calibri" w:hAnsi="Calibri" w:eastAsia="仿宋_GB2312" w:cs="Calibri"/>
          <w:sz w:val="32"/>
          <w:szCs w:val="32"/>
        </w:rPr>
        <w:t>³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bookmarkEnd w:id="4"/>
      <w:r>
        <w:rPr>
          <w:rFonts w:hint="eastAsia" w:ascii="仿宋_GB2312" w:hAnsi="华文仿宋" w:eastAsia="仿宋_GB2312" w:cs="Times New Roman"/>
          <w:sz w:val="32"/>
          <w:szCs w:val="32"/>
        </w:rPr>
        <w:t>/10000 。</w:t>
      </w:r>
    </w:p>
    <w:p w14:paraId="5611BA73">
      <w:pPr>
        <w:spacing w:line="500" w:lineRule="exact"/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</w:rPr>
      </w:pPr>
      <w:bookmarkStart w:id="5" w:name="_Hlk502228908"/>
      <w:r>
        <w:rPr>
          <w:rFonts w:hint="eastAsia" w:ascii="仿宋_GB2312" w:hAnsi="华文仿宋" w:eastAsia="仿宋_GB2312" w:cs="Times New Roman"/>
          <w:sz w:val="32"/>
          <w:szCs w:val="32"/>
        </w:rPr>
        <w:t>5. 工作天数（天）=1台机组实际工作天数。</w:t>
      </w:r>
    </w:p>
    <w:p w14:paraId="012AB4A8">
      <w:pPr>
        <w:spacing w:line="500" w:lineRule="exact"/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Times New Roman"/>
          <w:sz w:val="32"/>
          <w:szCs w:val="32"/>
        </w:rPr>
        <w:t>6. 工作时间（小时）=1台机组实际工作小时数。</w:t>
      </w:r>
    </w:p>
    <w:p w14:paraId="5E615391">
      <w:pPr>
        <w:spacing w:line="500" w:lineRule="exact"/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Times New Roman"/>
          <w:sz w:val="32"/>
          <w:szCs w:val="32"/>
        </w:rPr>
        <w:t>7. 其他矿物掺合料:如硅灰、石灰石粉、白云石粉等。</w:t>
      </w:r>
    </w:p>
    <w:p w14:paraId="56CFC6E7">
      <w:pPr>
        <w:spacing w:line="500" w:lineRule="exact"/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Times New Roman"/>
          <w:sz w:val="32"/>
          <w:szCs w:val="32"/>
        </w:rPr>
        <w:t>8. 运输方式：铁路运输、燃油汽运、新能源汽运、其他（燃气）四种方式进行选择填写。</w:t>
      </w:r>
    </w:p>
    <w:p w14:paraId="402169B8">
      <w:pPr>
        <w:spacing w:line="500" w:lineRule="exact"/>
        <w:ind w:firstLine="640" w:firstLineChars="200"/>
        <w:rPr>
          <w:rFonts w:hint="default" w:ascii="仿宋_GB2312" w:hAnsi="华文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sz w:val="32"/>
          <w:szCs w:val="32"/>
          <w:lang w:val="en-US" w:eastAsia="zh-CN"/>
        </w:rPr>
        <w:t>9.供应量（产量）：（1）房建工程（2）市政工程（城市道路，管廊，水、电、气、热、垃圾处理等城市运行保障）（3）轨道工程（含铁路）（4）高速公路及乡村道路工程（5）水利工程（水库、河道等）（6）园林工程（7）其他（农民自建房等）</w:t>
      </w:r>
    </w:p>
    <w:p w14:paraId="70E9C097">
      <w:pPr>
        <w:spacing w:line="500" w:lineRule="exact"/>
        <w:ind w:firstLine="643" w:firstLineChars="200"/>
        <w:rPr>
          <w:rFonts w:hint="eastAsia" w:ascii="仿宋_GB2312" w:hAnsi="华文仿宋" w:eastAsia="仿宋_GB2312"/>
          <w:b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三、上报流程</w:t>
      </w:r>
    </w:p>
    <w:p w14:paraId="528E45DC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1．数据上报流程：打开协会网站 → 右侧会员登录输入企业帐号、密码及验证码登录 → 左侧点击“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上报产量表（NEW）”</w:t>
      </w:r>
      <w:r>
        <w:rPr>
          <w:rFonts w:hint="eastAsia" w:ascii="仿宋_GB2312" w:hAnsi="华文仿宋" w:eastAsia="仿宋_GB2312"/>
          <w:sz w:val="32"/>
          <w:szCs w:val="32"/>
        </w:rPr>
        <w:t>→ 点击页面右侧的“上报”按钮 → 进行数据填写 → 填写完成后点击“提交”→ 上报成功 → 打印纸质版报表 → 由企业负责人签字、企业盖章 → 快递到协会。</w:t>
      </w:r>
    </w:p>
    <w:p w14:paraId="371ADD11">
      <w:pPr>
        <w:spacing w:line="500" w:lineRule="exact"/>
        <w:ind w:firstLine="640" w:firstLineChars="200"/>
        <w:rPr>
          <w:rFonts w:hint="eastAsia" w:ascii="仿宋_GB2312" w:hAnsi="华文仿宋" w:eastAsia="仿宋_GB2312"/>
          <w:b/>
          <w:sz w:val="32"/>
          <w:szCs w:val="32"/>
        </w:rPr>
      </w:pPr>
      <w:r>
        <w:rPr>
          <w:rFonts w:hint="eastAsia" w:ascii="仿宋_GB2312" w:hAnsi="华文仿宋" w:eastAsia="仿宋_GB2312" w:cs="Times New Roman"/>
          <w:sz w:val="32"/>
          <w:szCs w:val="32"/>
        </w:rPr>
        <w:t>2．</w:t>
      </w:r>
      <w:r>
        <w:rPr>
          <w:rFonts w:hint="eastAsia" w:ascii="仿宋_GB2312" w:hAnsi="华文仿宋" w:eastAsia="仿宋_GB2312"/>
          <w:sz w:val="32"/>
          <w:szCs w:val="32"/>
        </w:rPr>
        <w:t>填写产量表数据及内容时，可保存为草稿；当保存为草稿后，需点击页面左侧的“</w:t>
      </w:r>
      <w:r>
        <w:rPr>
          <w:rFonts w:hint="eastAsia" w:ascii="仿宋_GB2312" w:hAnsi="华文仿宋" w:eastAsia="仿宋_GB2312"/>
          <w:b/>
          <w:sz w:val="32"/>
          <w:szCs w:val="32"/>
        </w:rPr>
        <w:t>上报产量表（NEW）</w:t>
      </w:r>
      <w:r>
        <w:rPr>
          <w:rFonts w:hint="eastAsia" w:ascii="仿宋_GB2312" w:hAnsi="华文仿宋" w:eastAsia="仿宋_GB2312"/>
          <w:sz w:val="32"/>
          <w:szCs w:val="32"/>
        </w:rPr>
        <w:t>”，在打开的页面右侧“报告状态”选择“草稿”进行查询，在查询结果中找到保存为草稿的信息，点击“修改”按钮，然后在修改页面填写完整再点击“提交”。</w:t>
      </w:r>
    </w:p>
    <w:bookmarkEnd w:id="5"/>
    <w:p w14:paraId="1C9FAE58">
      <w:pPr>
        <w:spacing w:line="500" w:lineRule="exact"/>
        <w:ind w:firstLine="643" w:firstLineChars="200"/>
        <w:rPr>
          <w:rFonts w:hint="eastAsia"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四、注意事项</w:t>
      </w:r>
    </w:p>
    <w:p w14:paraId="34F01F4A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1．凡是有湿拌砂浆产量的单位务必根据企业的实际生产情况据实填报。</w:t>
      </w:r>
    </w:p>
    <w:p w14:paraId="7AED31FF">
      <w:pPr>
        <w:spacing w:line="500" w:lineRule="exact"/>
        <w:ind w:firstLine="64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2．年度（四季度）报表中企业资产总额和年度营业收入总额为必填项。</w:t>
      </w:r>
    </w:p>
    <w:bookmarkEnd w:id="0"/>
    <w:p w14:paraId="45570BED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B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2026-06-29T04:14:39Z</dcterms:created>
  <dc:creator>Administrator</dc:creator>
  <cp:lastModifiedBy>张颖</cp:lastModifiedBy>
  <dcterms:modified xsi:type="dcterms:W3CDTF">2026-06-29T04:14:56Z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eyJoZGlkIjoiY2M3ZjUyNzIzZjk5ODdmNDRlNzc1YmZmNGU0YzNmMWYiLCJ1c2VySWQiOiI2OTIyNzI4MTIifQ==</vt:lpwstr>
  </property>
  <property fmtid="{D5CDD505-2E9C-101B-9397-08002B2CF9AE}" pid="4" name="ICV">
    <vt:lpwstr>435FD837650A43A8B5370E4D936FC0E7_12</vt:lpwstr>
  </property>
</Properties>
</file>